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AB3E101" w14:textId="77777777" w:rsidR="00321DAD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0B779B7F" w14:textId="77777777" w:rsidR="00321DAD" w:rsidRPr="00321DAD" w:rsidRDefault="0031280B" w:rsidP="00B87D91">
      <w:pPr>
        <w:rPr>
          <w:b/>
          <w:color w:val="FF5200" w:themeColor="accent2"/>
          <w:sz w:val="36"/>
          <w:szCs w:val="36"/>
        </w:rPr>
      </w:pPr>
      <w:r w:rsidRPr="00321DAD">
        <w:rPr>
          <w:b/>
          <w:color w:val="FF5200" w:themeColor="accent2"/>
          <w:sz w:val="36"/>
          <w:szCs w:val="36"/>
        </w:rPr>
        <w:t>„</w:t>
      </w:r>
      <w:r w:rsidR="00321DAD" w:rsidRPr="00321DAD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Skupinové pojištění zaměstnanců pro případ trvalých následků úrazu a pro případ úrazu s následkem smrti</w:t>
      </w:r>
      <w:r w:rsidRPr="00321DAD">
        <w:rPr>
          <w:b/>
          <w:color w:val="FF5200" w:themeColor="accent2"/>
          <w:sz w:val="36"/>
          <w:szCs w:val="36"/>
        </w:rPr>
        <w:t>“</w:t>
      </w:r>
      <w:r w:rsidR="000128D4" w:rsidRPr="00321DAD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5A72E001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975841">
        <w:rPr>
          <w:b/>
          <w:color w:val="FF5200" w:themeColor="accent2"/>
          <w:sz w:val="36"/>
          <w:szCs w:val="36"/>
        </w:rPr>
        <w:t xml:space="preserve">vedené pod </w:t>
      </w:r>
      <w:r w:rsidRPr="0097584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75841" w:rsidRPr="00975841">
        <w:rPr>
          <w:b/>
          <w:color w:val="FF5200" w:themeColor="accent2"/>
          <w:sz w:val="36"/>
          <w:szCs w:val="36"/>
        </w:rPr>
        <w:t>7164</w:t>
      </w:r>
      <w:r w:rsidR="00321DAD" w:rsidRPr="00975841">
        <w:rPr>
          <w:b/>
          <w:color w:val="FF5200" w:themeColor="accent2"/>
          <w:sz w:val="36"/>
          <w:szCs w:val="36"/>
        </w:rPr>
        <w:t>/202</w:t>
      </w:r>
      <w:r w:rsidR="00975841">
        <w:rPr>
          <w:b/>
          <w:color w:val="FF5200" w:themeColor="accent2"/>
          <w:sz w:val="36"/>
          <w:szCs w:val="36"/>
        </w:rPr>
        <w:t>4</w:t>
      </w:r>
      <w:r w:rsidR="00321DAD" w:rsidRPr="00975841">
        <w:rPr>
          <w:b/>
          <w:color w:val="FF5200" w:themeColor="accent2"/>
          <w:sz w:val="36"/>
          <w:szCs w:val="36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</w:pPr>
          <w:r>
            <w:t>Obsah</w:t>
          </w:r>
        </w:p>
        <w:p w14:paraId="1867F3C3" w14:textId="58C2D6EA" w:rsidR="00BF3EC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7411260" w:history="1">
            <w:r w:rsidR="00BF3ECE" w:rsidRPr="003C5537">
              <w:rPr>
                <w:rStyle w:val="Hypertextovodkaz"/>
                <w:noProof/>
              </w:rPr>
              <w:t>Kapitola 1.</w:t>
            </w:r>
            <w:r w:rsidR="00BF3EC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F3ECE" w:rsidRPr="003C5537">
              <w:rPr>
                <w:rStyle w:val="Hypertextovodkaz"/>
                <w:noProof/>
              </w:rPr>
              <w:t>Základní údaje k nabídce</w:t>
            </w:r>
            <w:r w:rsidR="00BF3ECE">
              <w:rPr>
                <w:noProof/>
                <w:webHidden/>
              </w:rPr>
              <w:tab/>
            </w:r>
            <w:r w:rsidR="00BF3ECE">
              <w:rPr>
                <w:noProof/>
                <w:webHidden/>
              </w:rPr>
              <w:fldChar w:fldCharType="begin"/>
            </w:r>
            <w:r w:rsidR="00BF3ECE">
              <w:rPr>
                <w:noProof/>
                <w:webHidden/>
              </w:rPr>
              <w:instrText xml:space="preserve"> PAGEREF _Toc157411260 \h </w:instrText>
            </w:r>
            <w:r w:rsidR="00BF3ECE">
              <w:rPr>
                <w:noProof/>
                <w:webHidden/>
              </w:rPr>
            </w:r>
            <w:r w:rsidR="00BF3ECE">
              <w:rPr>
                <w:noProof/>
                <w:webHidden/>
              </w:rPr>
              <w:fldChar w:fldCharType="separate"/>
            </w:r>
            <w:r w:rsidR="00BF3ECE">
              <w:rPr>
                <w:noProof/>
                <w:webHidden/>
              </w:rPr>
              <w:t>2</w:t>
            </w:r>
            <w:r w:rsidR="00BF3ECE">
              <w:rPr>
                <w:noProof/>
                <w:webHidden/>
              </w:rPr>
              <w:fldChar w:fldCharType="end"/>
            </w:r>
          </w:hyperlink>
        </w:p>
        <w:p w14:paraId="66FF35C9" w14:textId="086D6727" w:rsidR="00BF3ECE" w:rsidRDefault="00BF3EC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411261" w:history="1">
            <w:r w:rsidRPr="003C5537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C5537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_Toc157411261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F57D4" w14:textId="61B03352" w:rsidR="00BF3ECE" w:rsidRDefault="00BF3EC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411262" w:history="1">
            <w:r w:rsidRPr="003C5537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C5537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_Toc157411262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994ADD" w14:textId="33C81798" w:rsidR="00BF3ECE" w:rsidRDefault="00BF3EC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411263" w:history="1">
            <w:r w:rsidRPr="003C5537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C5537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_Toc157411263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D9DAE0" w14:textId="6DEFE6DC" w:rsidR="00BF3ECE" w:rsidRDefault="00BF3EC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411264" w:history="1">
            <w:r w:rsidRPr="003C5537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C5537">
              <w:rPr>
                <w:rStyle w:val="Hypertextovodkaz"/>
                <w:noProof/>
              </w:rPr>
              <w:t>Čestné</w:t>
            </w:r>
            <w:r w:rsidRPr="003C5537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_Toc157411264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AE8E00" w14:textId="1D2A7CE9" w:rsidR="00BF3ECE" w:rsidRDefault="00BF3ECE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57411265" w:history="1">
            <w:r w:rsidRPr="003C5537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3C5537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_Toc157411265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75E51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57411260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26B24157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0B45C3">
        <w:rPr>
          <w:rFonts w:eastAsia="Times New Roman" w:cs="Times New Roman"/>
          <w:lang w:eastAsia="cs-CZ"/>
        </w:rPr>
        <w:t>podlimitní sektorovou veřejnou zakázku</w:t>
      </w:r>
      <w:r w:rsidRPr="000B45C3">
        <w:t>, jsou pravdivé</w:t>
      </w:r>
      <w:r w:rsidR="009771C9" w:rsidRPr="000B45C3">
        <w:t>, úplné a odpovídají skutečnosti</w:t>
      </w:r>
      <w:r w:rsidRPr="000B45C3">
        <w:t xml:space="preserve">. Účastník si je vědom důsledků záměrného uvedení nepravdivých údajů, které v rovině tohoto </w:t>
      </w:r>
      <w:r w:rsidR="00626DB3" w:rsidRPr="000B45C3">
        <w:t xml:space="preserve">výběrového </w:t>
      </w:r>
      <w:r w:rsidRPr="000B45C3">
        <w:t xml:space="preserve">řízení </w:t>
      </w:r>
      <w:r w:rsidR="009771C9" w:rsidRPr="000B45C3">
        <w:t>mohou vést</w:t>
      </w:r>
      <w:r w:rsidR="009771C9">
        <w:t xml:space="preserve">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1F817F2C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A5218B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A5218B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57411261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BA166D3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327925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</w:t>
      </w:r>
      <w:r w:rsidR="00327925">
        <w:rPr>
          <w:lang w:eastAsia="cs-CZ"/>
        </w:rPr>
        <w:t>Výše uvedené podmínky splňuje jak Účastník (coby právnická osoba), tak každý člen jeho statutárního orgánu,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75D4B144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5741126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321DAD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</w:t>
      </w:r>
      <w:proofErr w:type="gramStart"/>
      <w:r w:rsidRPr="00A327CB">
        <w:rPr>
          <w:rFonts w:eastAsia="Calibri" w:cs="Times New Roman"/>
        </w:rPr>
        <w:t>4b</w:t>
      </w:r>
      <w:proofErr w:type="gramEnd"/>
      <w:r w:rsidRPr="00A327CB">
        <w:rPr>
          <w:rFonts w:eastAsia="Calibri" w:cs="Times New Roman"/>
        </w:rPr>
        <w:t xml:space="preserve">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5741126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5741126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57411265"/>
      <w:r w:rsidRPr="00E85D44">
        <w:t>Čestné prohlášení o splnění technické kvalifikace</w:t>
      </w:r>
      <w:bookmarkEnd w:id="6"/>
    </w:p>
    <w:p w14:paraId="71002640" w14:textId="41DE9831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BF3ECE">
        <w:rPr>
          <w:rFonts w:eastAsia="Times New Roman" w:cs="Times New Roman"/>
          <w:lang w:eastAsia="cs-CZ"/>
        </w:rPr>
        <w:t xml:space="preserve">alespoň </w:t>
      </w:r>
      <w:r w:rsidR="00321DAD" w:rsidRPr="00BF3ECE">
        <w:rPr>
          <w:rFonts w:eastAsia="Times New Roman" w:cs="Times New Roman"/>
          <w:lang w:eastAsia="cs-CZ"/>
        </w:rPr>
        <w:t>2</w:t>
      </w:r>
      <w:r w:rsidR="00E85D44" w:rsidRPr="00BF3ECE">
        <w:rPr>
          <w:rFonts w:eastAsia="Times New Roman" w:cs="Times New Roman"/>
          <w:lang w:eastAsia="cs-CZ"/>
        </w:rPr>
        <w:t xml:space="preserve"> významn</w:t>
      </w:r>
      <w:r w:rsidR="00321DAD" w:rsidRPr="00BF3ECE">
        <w:rPr>
          <w:rFonts w:eastAsia="Times New Roman" w:cs="Times New Roman"/>
          <w:lang w:eastAsia="cs-CZ"/>
        </w:rPr>
        <w:t>é</w:t>
      </w:r>
      <w:r w:rsidR="00E85D44" w:rsidRPr="00BF3ECE">
        <w:rPr>
          <w:rFonts w:eastAsia="Times New Roman" w:cs="Times New Roman"/>
          <w:lang w:eastAsia="cs-CZ"/>
        </w:rPr>
        <w:t xml:space="preserve"> služb</w:t>
      </w:r>
      <w:r w:rsidR="00321DAD" w:rsidRPr="00BF3ECE">
        <w:rPr>
          <w:rFonts w:eastAsia="Times New Roman" w:cs="Times New Roman"/>
          <w:lang w:eastAsia="cs-CZ"/>
        </w:rPr>
        <w:t>y</w:t>
      </w:r>
      <w:r w:rsidR="00E85D44" w:rsidRPr="00BF3ECE">
        <w:rPr>
          <w:rFonts w:eastAsia="Times New Roman" w:cs="Times New Roman"/>
          <w:lang w:eastAsia="cs-CZ"/>
        </w:rPr>
        <w:t xml:space="preserve"> </w:t>
      </w:r>
      <w:r w:rsidR="003F133E" w:rsidRPr="00BF3ECE">
        <w:rPr>
          <w:rFonts w:eastAsia="Times New Roman" w:cs="Times New Roman"/>
          <w:lang w:eastAsia="cs-CZ"/>
        </w:rPr>
        <w:t>definovan</w:t>
      </w:r>
      <w:r w:rsidR="000C5962" w:rsidRPr="00BF3ECE">
        <w:rPr>
          <w:rFonts w:eastAsia="Times New Roman" w:cs="Times New Roman"/>
          <w:lang w:eastAsia="cs-CZ"/>
        </w:rPr>
        <w:t xml:space="preserve">é </w:t>
      </w:r>
      <w:r w:rsidR="00E85D44" w:rsidRPr="00BF3ECE">
        <w:rPr>
          <w:rFonts w:eastAsia="Times New Roman" w:cs="Times New Roman"/>
          <w:lang w:eastAsia="cs-CZ"/>
        </w:rPr>
        <w:t xml:space="preserve">v čl. </w:t>
      </w:r>
      <w:r w:rsidR="00321DAD" w:rsidRPr="00BF3ECE">
        <w:rPr>
          <w:rFonts w:eastAsia="Times New Roman" w:cs="Times New Roman"/>
          <w:lang w:eastAsia="cs-CZ"/>
        </w:rPr>
        <w:t>7.5</w:t>
      </w:r>
      <w:r w:rsidR="00E85D44" w:rsidRPr="00BF3ECE">
        <w:rPr>
          <w:rFonts w:eastAsia="Times New Roman" w:cs="Times New Roman"/>
          <w:lang w:eastAsia="cs-CZ"/>
        </w:rPr>
        <w:t xml:space="preserve"> </w:t>
      </w:r>
      <w:r w:rsidR="00B87D91" w:rsidRPr="00BF3ECE">
        <w:rPr>
          <w:rFonts w:eastAsia="Times New Roman" w:cs="Times New Roman"/>
          <w:lang w:eastAsia="cs-CZ"/>
        </w:rPr>
        <w:t>V</w:t>
      </w:r>
      <w:r w:rsidR="00E85D44" w:rsidRPr="00BF3ECE">
        <w:rPr>
          <w:rFonts w:eastAsia="Times New Roman" w:cs="Times New Roman"/>
          <w:lang w:eastAsia="cs-CZ"/>
        </w:rPr>
        <w:t>ýzvy</w:t>
      </w:r>
      <w:r w:rsidR="00E85D44">
        <w:rPr>
          <w:rFonts w:eastAsia="Times New Roman" w:cs="Times New Roman"/>
          <w:lang w:eastAsia="cs-CZ"/>
        </w:rPr>
        <w:t xml:space="preserve">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690"/>
        <w:gridCol w:w="2280"/>
        <w:gridCol w:w="1800"/>
      </w:tblGrid>
      <w:tr w:rsidR="00E85D44" w14:paraId="403E89B3" w14:textId="77777777" w:rsidTr="003F13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787C2C67" w14:textId="70596916" w:rsidR="00E85D44" w:rsidRDefault="00E85D44" w:rsidP="000C5962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312156F9" w:rsidR="00E85D44" w:rsidRDefault="00E85D44" w:rsidP="000C5962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690" w:type="dxa"/>
            <w:tcBorders>
              <w:bottom w:val="single" w:sz="2" w:space="0" w:color="auto"/>
            </w:tcBorders>
            <w:vAlign w:val="center"/>
          </w:tcPr>
          <w:p w14:paraId="47971CF4" w14:textId="67124A2C" w:rsidR="00E85D44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bottom w:val="single" w:sz="2" w:space="0" w:color="auto"/>
            </w:tcBorders>
            <w:vAlign w:val="center"/>
            <w:hideMark/>
          </w:tcPr>
          <w:p w14:paraId="7B33DD72" w14:textId="67CF9DF6" w:rsidR="00E85D44" w:rsidRDefault="00321DAD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Počet pojištěných osob</w:t>
            </w:r>
            <w:r w:rsidR="000C5962">
              <w:rPr>
                <w:rFonts w:eastAsia="Times New Roman" w:cs="Times New Roman"/>
                <w:b/>
                <w:spacing w:val="-6"/>
                <w:lang w:eastAsia="cs-CZ"/>
              </w:rPr>
              <w:t xml:space="preserve"> za </w:t>
            </w:r>
            <w:r w:rsidR="000C5962" w:rsidRPr="000C5962">
              <w:rPr>
                <w:rFonts w:eastAsia="Times New Roman" w:cs="Times New Roman"/>
                <w:b/>
                <w:spacing w:val="-6"/>
                <w:lang w:eastAsia="cs-CZ"/>
              </w:rPr>
              <w:t>12 po sobě jdoucích kalendářních měsíců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FC367B0" w14:textId="77777777" w:rsidR="00E85D44" w:rsidRDefault="00E85D4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461CCDC5" w:rsidR="00E85D44" w:rsidRDefault="00E85D4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3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321DAD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321DA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2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DE33E05" w14:textId="77777777" w:rsidR="00321DAD" w:rsidRDefault="00321DAD" w:rsidP="00321DAD">
      <w:pPr>
        <w:rPr>
          <w:rFonts w:eastAsia="Times New Roman" w:cs="Times New Roman"/>
          <w:lang w:eastAsia="cs-CZ"/>
        </w:rPr>
      </w:pPr>
    </w:p>
    <w:p w14:paraId="6D01FB1F" w14:textId="77777777" w:rsidR="00321DAD" w:rsidRDefault="00321DAD" w:rsidP="00321DAD">
      <w:pPr>
        <w:rPr>
          <w:lang w:eastAsia="cs-CZ"/>
        </w:rPr>
      </w:pPr>
    </w:p>
    <w:p w14:paraId="0B34B067" w14:textId="31CEFE63" w:rsidR="002126E7" w:rsidRPr="00321DAD" w:rsidRDefault="002126E7" w:rsidP="00321DAD">
      <w:pPr>
        <w:rPr>
          <w:rFonts w:eastAsia="Times New Roman" w:cs="Times New Roman"/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C5CB7" w14:textId="77777777" w:rsidR="00A5218B" w:rsidRDefault="00A5218B" w:rsidP="00962258">
      <w:pPr>
        <w:spacing w:after="0" w:line="240" w:lineRule="auto"/>
      </w:pPr>
      <w:r>
        <w:separator/>
      </w:r>
    </w:p>
  </w:endnote>
  <w:endnote w:type="continuationSeparator" w:id="0">
    <w:p w14:paraId="5F0A29FC" w14:textId="77777777" w:rsidR="00A5218B" w:rsidRDefault="00A521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2A4EBA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1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133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711FB0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133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133E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1EB8C" w14:textId="77777777" w:rsidR="00A5218B" w:rsidRDefault="00A5218B" w:rsidP="00962258">
      <w:pPr>
        <w:spacing w:after="0" w:line="240" w:lineRule="auto"/>
      </w:pPr>
      <w:r>
        <w:separator/>
      </w:r>
    </w:p>
  </w:footnote>
  <w:footnote w:type="continuationSeparator" w:id="0">
    <w:p w14:paraId="232BC00C" w14:textId="77777777" w:rsidR="00A5218B" w:rsidRDefault="00A5218B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45C3"/>
    <w:rsid w:val="000B5E1C"/>
    <w:rsid w:val="000C5962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1DAD"/>
    <w:rsid w:val="003221F2"/>
    <w:rsid w:val="00327925"/>
    <w:rsid w:val="00341DCF"/>
    <w:rsid w:val="00354C5C"/>
    <w:rsid w:val="00357BC6"/>
    <w:rsid w:val="0036634F"/>
    <w:rsid w:val="003956C6"/>
    <w:rsid w:val="003B596F"/>
    <w:rsid w:val="003F133E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0136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059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5841"/>
    <w:rsid w:val="009771C9"/>
    <w:rsid w:val="009833E1"/>
    <w:rsid w:val="00992D9C"/>
    <w:rsid w:val="0099373B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5218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53EA5"/>
    <w:rsid w:val="00B75EE1"/>
    <w:rsid w:val="00B77481"/>
    <w:rsid w:val="00B8518B"/>
    <w:rsid w:val="00B87D91"/>
    <w:rsid w:val="00B93EF0"/>
    <w:rsid w:val="00BD7E91"/>
    <w:rsid w:val="00BF3ECE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0B5E1C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AA722C-97FF-4AA5-ADC1-78839B808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1129</Words>
  <Characters>6666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8</cp:revision>
  <cp:lastPrinted>2017-11-28T17:18:00Z</cp:lastPrinted>
  <dcterms:created xsi:type="dcterms:W3CDTF">2023-11-24T14:28:00Z</dcterms:created>
  <dcterms:modified xsi:type="dcterms:W3CDTF">2024-01-29T08:02:00Z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